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9A09" w14:textId="6D5373AC" w:rsidR="00E914D6" w:rsidRPr="00F22D31" w:rsidRDefault="008273F5" w:rsidP="001E3265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财通基金管理有限公司</w:t>
      </w:r>
      <w:r w:rsidR="00B22D0E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关于</w:t>
      </w:r>
      <w:proofErr w:type="gramStart"/>
      <w:r w:rsidR="00B22D0E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中证财通</w:t>
      </w:r>
      <w:proofErr w:type="gramEnd"/>
      <w:r w:rsidR="00B22D0E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中国可持续发展</w:t>
      </w:r>
      <w:r w:rsidR="00B22D0E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100</w:t>
      </w:r>
      <w:r w:rsidR="00B22D0E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（</w:t>
      </w:r>
      <w:r w:rsidR="00B22D0E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ECPI ESG</w:t>
      </w:r>
      <w:r w:rsidR="00532089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）指数增强型证券投资</w:t>
      </w:r>
      <w:r w:rsidR="00532089" w:rsidRPr="00F22D31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基金证券</w:t>
      </w:r>
      <w:r w:rsidR="00532089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交易模式转换有关事项</w:t>
      </w:r>
      <w:r w:rsidR="000A5589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的</w:t>
      </w:r>
      <w:r w:rsidR="00863123"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公告</w:t>
      </w:r>
    </w:p>
    <w:p w14:paraId="34CB3BD0" w14:textId="1863977F" w:rsidR="00E914D6" w:rsidRPr="00F22D31" w:rsidRDefault="00E914D6" w:rsidP="009A69E7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为了更好地满足投资者投资理财需求，进一步提高</w:t>
      </w:r>
      <w:proofErr w:type="gramStart"/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</w:t>
      </w:r>
      <w:proofErr w:type="gramEnd"/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中国可持续发展</w:t>
      </w:r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）指数增强型证券投资基金（</w:t>
      </w:r>
      <w:r w:rsidR="00B63C96"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以下简称</w:t>
      </w:r>
      <w:r w:rsidR="00B63C96"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“</w:t>
      </w:r>
      <w:r w:rsidR="00B63C96"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本基金</w:t>
      </w:r>
      <w:r w:rsidR="00B63C96"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="00B63C96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的竞争力，根据《中华人民共和国证券投资基金法》、《公开募集证券投资基金运作管理办法》等法律法规和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《中证财通中国可持续发展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）指数增强型证券投资基金基金合同》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的有关规定，财通基金管理有限公司（以下简称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“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本</w:t>
      </w:r>
      <w:r w:rsidR="00D93772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公司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）经与基金托管人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上海银行股份有限公司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协商一致，并报中国证监会备案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="00532089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决定</w:t>
      </w:r>
      <w:r w:rsidR="00532089"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转换本基金证券交易模式，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现将具体事宜公告如下：</w:t>
      </w:r>
    </w:p>
    <w:p w14:paraId="4E6A597E" w14:textId="361DE517" w:rsidR="00B22D0E" w:rsidRPr="00F22D31" w:rsidRDefault="00532089" w:rsidP="00F22D31">
      <w:pPr>
        <w:pStyle w:val="a5"/>
        <w:widowControl/>
        <w:numPr>
          <w:ilvl w:val="0"/>
          <w:numId w:val="18"/>
        </w:numPr>
        <w:spacing w:beforeLines="50" w:before="120" w:afterLines="50" w:after="120" w:line="360" w:lineRule="auto"/>
        <w:ind w:firstLineChars="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证券</w:t>
      </w: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交易模式转换</w:t>
      </w:r>
    </w:p>
    <w:p w14:paraId="4B2E591A" w14:textId="00F074BA" w:rsidR="00532089" w:rsidRPr="00F22D31" w:rsidRDefault="00532089" w:rsidP="00F22D31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自</w:t>
      </w:r>
      <w:r w:rsidR="00E65156">
        <w:rPr>
          <w:rFonts w:ascii="Times New Roman" w:eastAsia="宋体" w:hAnsi="Times New Roman" w:cs="Times New Roman" w:hint="eastAsia"/>
          <w:bCs/>
          <w:color w:val="000000" w:themeColor="text1"/>
        </w:rPr>
        <w:t>2021</w:t>
      </w:r>
      <w:r w:rsidR="00E65156" w:rsidRPr="00AE2B07">
        <w:rPr>
          <w:rFonts w:ascii="Times New Roman" w:eastAsia="宋体" w:hAnsi="Times New Roman" w:cs="Times New Roman"/>
          <w:bCs/>
          <w:color w:val="000000" w:themeColor="text1"/>
        </w:rPr>
        <w:t>年</w:t>
      </w:r>
      <w:r w:rsidR="00E65156">
        <w:rPr>
          <w:rFonts w:ascii="Times New Roman" w:eastAsia="宋体" w:hAnsi="Times New Roman" w:cs="Times New Roman" w:hint="eastAsia"/>
          <w:bCs/>
          <w:color w:val="000000" w:themeColor="text1"/>
        </w:rPr>
        <w:t>12</w:t>
      </w:r>
      <w:r w:rsidR="00E65156" w:rsidRPr="00AE2B07">
        <w:rPr>
          <w:rFonts w:ascii="Times New Roman" w:eastAsia="宋体" w:hAnsi="Times New Roman" w:cs="Times New Roman"/>
          <w:bCs/>
          <w:color w:val="000000" w:themeColor="text1"/>
        </w:rPr>
        <w:t>月</w:t>
      </w:r>
      <w:r w:rsidR="00E65156">
        <w:rPr>
          <w:rFonts w:ascii="Times New Roman" w:eastAsia="宋体" w:hAnsi="Times New Roman" w:cs="Times New Roman" w:hint="eastAsia"/>
          <w:bCs/>
          <w:color w:val="000000" w:themeColor="text1"/>
        </w:rPr>
        <w:t>27</w:t>
      </w:r>
      <w:r w:rsidRPr="00F22D31">
        <w:rPr>
          <w:rFonts w:ascii="Times New Roman" w:eastAsia="宋体" w:hAnsi="Times New Roman" w:cs="Times New Roman"/>
          <w:bCs/>
          <w:color w:val="000000" w:themeColor="text1"/>
        </w:rPr>
        <w:t>日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起</w:t>
      </w:r>
      <w:r w:rsidRPr="00F22D31">
        <w:rPr>
          <w:rFonts w:ascii="Times New Roman" w:eastAsia="宋体" w:hAnsi="Times New Roman" w:cs="Times New Roman"/>
          <w:bCs/>
          <w:color w:val="000000" w:themeColor="text1"/>
        </w:rPr>
        <w:t>，</w:t>
      </w:r>
      <w:r w:rsidR="00B22D0E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本基金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将启动</w:t>
      </w:r>
      <w:r w:rsidRPr="00F22D31">
        <w:rPr>
          <w:rFonts w:ascii="Times New Roman" w:eastAsia="宋体" w:hAnsi="Times New Roman" w:cs="Times New Roman"/>
          <w:bCs/>
          <w:color w:val="000000" w:themeColor="text1"/>
        </w:rPr>
        <w:t>证券交易模式的转换工作，转换后，本基金的证券交易所交易将委托证券公司办理，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由证券公司履行交易管理职责。</w:t>
      </w:r>
    </w:p>
    <w:p w14:paraId="724EE42B" w14:textId="1FBE9C54" w:rsidR="00532089" w:rsidRPr="00F22D31" w:rsidRDefault="00532089" w:rsidP="00F22D31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本次</w:t>
      </w:r>
      <w:r w:rsidR="00871151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证券交易</w:t>
      </w:r>
      <w:r w:rsidR="00871151" w:rsidRPr="00F22D31">
        <w:rPr>
          <w:rFonts w:ascii="Times New Roman" w:eastAsia="宋体" w:hAnsi="Times New Roman" w:cs="Times New Roman"/>
          <w:bCs/>
          <w:color w:val="000000" w:themeColor="text1"/>
        </w:rPr>
        <w:t>模式转换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对基金份额持有人利益无实质不利影响，无需召开基金份额持有人大会。</w:t>
      </w:r>
    </w:p>
    <w:p w14:paraId="5C7B2157" w14:textId="307730D9" w:rsidR="00064390" w:rsidRPr="00F22D31" w:rsidRDefault="00532089" w:rsidP="00F22D31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二、因转换证券交易模式，拟对《中证财通中国可持续发展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100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ECPI ESG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）指数增强型证券投资基金托管协议》（以下简称“《托管协议》”）相关条款进行修订。修订后的《托管协议》全文于</w:t>
      </w:r>
      <w:r w:rsidR="006B3EA7">
        <w:rPr>
          <w:rFonts w:ascii="Times New Roman" w:eastAsia="宋体" w:hAnsi="Times New Roman" w:cs="Times New Roman" w:hint="eastAsia"/>
          <w:bCs/>
          <w:color w:val="000000" w:themeColor="text1"/>
        </w:rPr>
        <w:t>2021</w:t>
      </w:r>
      <w:r w:rsidR="006B3EA7" w:rsidRPr="00AE2B07">
        <w:rPr>
          <w:rFonts w:ascii="Times New Roman" w:eastAsia="宋体" w:hAnsi="Times New Roman" w:cs="Times New Roman"/>
          <w:bCs/>
          <w:color w:val="000000" w:themeColor="text1"/>
        </w:rPr>
        <w:t>年</w:t>
      </w:r>
      <w:r w:rsidR="006B3EA7">
        <w:rPr>
          <w:rFonts w:ascii="Times New Roman" w:eastAsia="宋体" w:hAnsi="Times New Roman" w:cs="Times New Roman" w:hint="eastAsia"/>
          <w:bCs/>
          <w:color w:val="000000" w:themeColor="text1"/>
        </w:rPr>
        <w:t>12</w:t>
      </w:r>
      <w:r w:rsidR="006B3EA7" w:rsidRPr="00AE2B07">
        <w:rPr>
          <w:rFonts w:ascii="Times New Roman" w:eastAsia="宋体" w:hAnsi="Times New Roman" w:cs="Times New Roman"/>
          <w:bCs/>
          <w:color w:val="000000" w:themeColor="text1"/>
        </w:rPr>
        <w:t>月</w:t>
      </w:r>
      <w:r w:rsidR="006B3EA7">
        <w:rPr>
          <w:rFonts w:ascii="Times New Roman" w:eastAsia="宋体" w:hAnsi="Times New Roman" w:cs="Times New Roman" w:hint="eastAsia"/>
          <w:bCs/>
          <w:color w:val="000000" w:themeColor="text1"/>
        </w:rPr>
        <w:t>24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日在本基金管理人网站（在本基金管理人网站（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www.</w:t>
      </w:r>
      <w:r w:rsidRPr="00F22D31">
        <w:rPr>
          <w:rFonts w:ascii="Times New Roman" w:eastAsia="宋体" w:hAnsi="Times New Roman" w:cs="Times New Roman"/>
          <w:bCs/>
          <w:color w:val="000000" w:themeColor="text1"/>
        </w:rPr>
        <w:t>ctfund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.com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）和中国证监会基金电子披露网站（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http://eid.csrc.gov.cn/fund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）披露，供投资者查阅。投资者亦可拨打本</w:t>
      </w:r>
      <w:r w:rsidR="00E802F4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公司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的全国统一客户服务电话</w:t>
      </w:r>
      <w:r w:rsidR="002831A2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="002831A2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400-820-9888</w:t>
      </w:r>
      <w:r w:rsidR="002831A2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）咨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询相关事宜。</w:t>
      </w:r>
    </w:p>
    <w:p w14:paraId="76FBBB6B" w14:textId="682259AC" w:rsidR="00064390" w:rsidRPr="00F22D31" w:rsidRDefault="00532089" w:rsidP="00F22D31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三、本基金证券交易模式转换完成</w:t>
      </w:r>
      <w:r w:rsidR="009047D1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时间与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修订后的《托管协议》生效时间将另行公告。本公司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将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根据上述修订情况，在《中证财通中国可持续发展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100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ECPI ESG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）指数增强型证券投资基金招募说明书（更新）》中，对上述内容进行相应修改，并将更新后的文件在本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公司官网上披露。本公告未尽事宜，敬请投资者参见《中证财通中国可持续发展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100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ECPI ESG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）指数增强型证券投资基金基金合同》、《中证财通中国可持续发展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100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ECPI ESG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）指数增强型证券投资基金招募说明书》及其</w:t>
      </w:r>
      <w:r w:rsidR="00064390" w:rsidRPr="00F22D31">
        <w:rPr>
          <w:rFonts w:ascii="Times New Roman" w:eastAsia="宋体" w:hAnsi="Times New Roman" w:cs="Times New Roman"/>
          <w:bCs/>
          <w:color w:val="000000" w:themeColor="text1"/>
        </w:rPr>
        <w:t>更</w:t>
      </w:r>
      <w:r w:rsidR="00064390" w:rsidRPr="00F22D31">
        <w:rPr>
          <w:rFonts w:ascii="Times New Roman" w:eastAsia="宋体" w:hAnsi="Times New Roman" w:cs="Times New Roman"/>
          <w:bCs/>
          <w:color w:val="000000" w:themeColor="text1"/>
        </w:rPr>
        <w:lastRenderedPageBreak/>
        <w:t>新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等相关的</w:t>
      </w:r>
      <w:r w:rsidR="00064390" w:rsidRPr="00F22D31">
        <w:rPr>
          <w:rFonts w:ascii="Times New Roman" w:eastAsia="宋体" w:hAnsi="Times New Roman" w:cs="Times New Roman"/>
          <w:bCs/>
          <w:color w:val="000000" w:themeColor="text1"/>
        </w:rPr>
        <w:t>文件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。投资者可登录基金管理人网站（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www.ctfund.com</w:t>
      </w:r>
      <w:r w:rsidR="00064390"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）查阅基金修改后的托管协议、招募说明书（更新）等法律文件。</w:t>
      </w:r>
    </w:p>
    <w:p w14:paraId="7AC546D5" w14:textId="4B2FB353" w:rsidR="00064390" w:rsidRPr="00F22D31" w:rsidRDefault="00064390" w:rsidP="00F22D31">
      <w:pPr>
        <w:pStyle w:val="Default"/>
        <w:spacing w:line="360" w:lineRule="auto"/>
        <w:ind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四、投资者可通过本公司的客服热线或网站咨询有关详情：</w:t>
      </w:r>
    </w:p>
    <w:p w14:paraId="7D3B4C04" w14:textId="77777777" w:rsidR="00064390" w:rsidRPr="00F22D31" w:rsidRDefault="00064390" w:rsidP="00F22D31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财通基金管理有限公司</w:t>
      </w:r>
    </w:p>
    <w:p w14:paraId="66E0325B" w14:textId="77777777" w:rsidR="00064390" w:rsidRPr="00F22D31" w:rsidRDefault="00064390" w:rsidP="00F22D31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客服电话：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400-820-9888</w:t>
      </w:r>
    </w:p>
    <w:p w14:paraId="4407CCF0" w14:textId="41F8C578" w:rsidR="00532089" w:rsidRPr="00F22D31" w:rsidRDefault="00064390" w:rsidP="00F22D31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网址：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</w:rPr>
        <w:t>www.ctfund.com</w:t>
      </w:r>
    </w:p>
    <w:p w14:paraId="75D4A1B5" w14:textId="77777777" w:rsidR="00064390" w:rsidRPr="00F22D31" w:rsidRDefault="00064390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5D108329" w14:textId="77777777" w:rsidR="00847DB6" w:rsidRPr="00F22D31" w:rsidRDefault="00847DB6" w:rsidP="001425F9">
      <w:pPr>
        <w:widowControl/>
        <w:spacing w:beforeLines="50" w:before="120" w:afterLines="50" w:after="120" w:line="360" w:lineRule="auto"/>
        <w:ind w:firstLineChars="200" w:firstLine="482"/>
        <w:outlineLvl w:val="5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F22D3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风险提示</w:t>
      </w:r>
    </w:p>
    <w:p w14:paraId="06F89EC8" w14:textId="148C0554" w:rsidR="00064390" w:rsidRPr="00F22D31" w:rsidRDefault="00E85BBE" w:rsidP="00F22D31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本公司承诺以诚实信用、勤勉尽责的原则管理和运用基金资产</w:t>
      </w:r>
      <w:r w:rsidR="00B80CB5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但不保证基金一定盈利</w:t>
      </w:r>
      <w:r w:rsidR="004B3184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="00B80CB5"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Pr="00F22D31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14:paraId="424600E9" w14:textId="77777777" w:rsidR="00230D18" w:rsidRPr="00F22D31" w:rsidRDefault="00BB3501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F22D3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特此公告。</w:t>
      </w:r>
    </w:p>
    <w:p w14:paraId="2C7D80A9" w14:textId="77777777" w:rsidR="00064390" w:rsidRPr="00F22D31" w:rsidRDefault="00064390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129DB520" w14:textId="77777777" w:rsidR="00C36A15" w:rsidRPr="00F22D31" w:rsidRDefault="00C36A15" w:rsidP="006C5004">
      <w:pPr>
        <w:widowControl/>
        <w:spacing w:after="100" w:afterAutospacing="1"/>
        <w:jc w:val="right"/>
        <w:outlineLvl w:val="5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F22D3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财通基金管理有限公司</w:t>
      </w:r>
    </w:p>
    <w:p w14:paraId="2684C111" w14:textId="5792E35B" w:rsidR="00596E8B" w:rsidRPr="00EE17FE" w:rsidRDefault="006B3EA7" w:rsidP="00F22D31">
      <w:pPr>
        <w:widowControl/>
        <w:wordWrap w:val="0"/>
        <w:spacing w:beforeLines="50" w:before="120" w:afterLines="50" w:after="120" w:line="360" w:lineRule="auto"/>
        <w:ind w:firstLineChars="200" w:firstLine="480"/>
        <w:jc w:val="right"/>
        <w:outlineLvl w:val="5"/>
        <w:rPr>
          <w:rFonts w:ascii="Times New Roman" w:hAnsi="Times New Roman" w:cs="Times New Roman"/>
        </w:rPr>
      </w:pPr>
      <w:r w:rsidRPr="00F22D31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二〇二一年十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二</w:t>
      </w:r>
      <w:r w:rsidRPr="00F22D31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二十四</w:t>
      </w:r>
      <w:r w:rsidR="008E5498" w:rsidRPr="00F22D31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日</w:t>
      </w:r>
    </w:p>
    <w:sectPr w:rsidR="00596E8B" w:rsidRPr="00EE17FE" w:rsidSect="000D525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7D60B" w14:textId="77777777" w:rsidR="00476343" w:rsidRDefault="00476343">
      <w:r>
        <w:t xml:space="preserve">E  </w:t>
      </w:r>
    </w:p>
  </w:endnote>
  <w:endnote w:type="continuationSeparator" w:id="0">
    <w:p w14:paraId="40BC0406" w14:textId="77777777" w:rsidR="00476343" w:rsidRDefault="00476343">
      <w:r>
        <w:t xml:space="preserve"> \*</w:t>
      </w:r>
    </w:p>
  </w:endnote>
  <w:endnote w:type="continuationNotice" w:id="1">
    <w:p w14:paraId="1927E998" w14:textId="77777777" w:rsidR="00476343" w:rsidRDefault="00476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D03BC" w14:textId="77777777" w:rsidR="00476343" w:rsidRDefault="00476343">
      <w:r>
        <w:fldChar w:fldCharType="begin"/>
      </w:r>
      <w:r>
        <w:fldChar w:fldCharType="end"/>
      </w:r>
    </w:p>
  </w:footnote>
  <w:footnote w:type="continuationSeparator" w:id="0">
    <w:p w14:paraId="48F81C08" w14:textId="77777777" w:rsidR="00476343" w:rsidRDefault="00476343">
      <w:r>
        <w:t>PAG</w:t>
      </w:r>
    </w:p>
  </w:footnote>
  <w:footnote w:type="continuationNotice" w:id="1">
    <w:p w14:paraId="5E3E434F" w14:textId="77777777" w:rsidR="00476343" w:rsidRDefault="004763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B136E" w14:textId="3928F852" w:rsidR="007361E9" w:rsidRDefault="007361E9">
    <w:pPr>
      <w:pStyle w:val="a3"/>
      <w:pBdr>
        <w:bottom w:val="single" w:sz="6" w:space="2" w:color="auto"/>
      </w:pBdr>
      <w:tabs>
        <w:tab w:val="clear" w:pos="4153"/>
      </w:tabs>
      <w:jc w:val="left"/>
    </w:pPr>
    <w:r>
      <w:rPr>
        <w:noProof/>
      </w:rPr>
      <w:drawing>
        <wp:inline distT="0" distB="0" distL="0" distR="0" wp14:anchorId="514F979D" wp14:editId="75783979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AD45EB"/>
    <w:multiLevelType w:val="singleLevel"/>
    <w:tmpl w:val="94AD45EB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A76A1F"/>
    <w:multiLevelType w:val="multilevel"/>
    <w:tmpl w:val="0AA76A1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C755C5"/>
    <w:multiLevelType w:val="multilevel"/>
    <w:tmpl w:val="0CC755C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1B017B"/>
    <w:multiLevelType w:val="multilevel"/>
    <w:tmpl w:val="0D1B017B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382A96"/>
    <w:multiLevelType w:val="singleLevel"/>
    <w:tmpl w:val="13382A9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9DB0D1E"/>
    <w:multiLevelType w:val="multilevel"/>
    <w:tmpl w:val="19DB0D1E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572F4"/>
    <w:multiLevelType w:val="multilevel"/>
    <w:tmpl w:val="35D572F4"/>
    <w:lvl w:ilvl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4934B7"/>
    <w:multiLevelType w:val="multilevel"/>
    <w:tmpl w:val="374934B7"/>
    <w:lvl w:ilvl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2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3" w15:restartNumberingAfterBreak="0">
    <w:nsid w:val="69E41771"/>
    <w:multiLevelType w:val="hybridMultilevel"/>
    <w:tmpl w:val="0650720C"/>
    <w:lvl w:ilvl="0" w:tplc="127C76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 w15:restartNumberingAfterBreak="0">
    <w:nsid w:val="7B77548D"/>
    <w:multiLevelType w:val="multilevel"/>
    <w:tmpl w:val="7B77548D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8A2E29"/>
    <w:multiLevelType w:val="multilevel"/>
    <w:tmpl w:val="7B8A2E29"/>
    <w:lvl w:ilvl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0"/>
  </w:num>
  <w:num w:numId="5">
    <w:abstractNumId w:val="17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4D4"/>
    <w:rsid w:val="00001760"/>
    <w:rsid w:val="00001979"/>
    <w:rsid w:val="000047A5"/>
    <w:rsid w:val="00010044"/>
    <w:rsid w:val="00020EAA"/>
    <w:rsid w:val="00022ABD"/>
    <w:rsid w:val="000254D6"/>
    <w:rsid w:val="00025D40"/>
    <w:rsid w:val="000300E5"/>
    <w:rsid w:val="0003196A"/>
    <w:rsid w:val="0003246C"/>
    <w:rsid w:val="00033010"/>
    <w:rsid w:val="00033204"/>
    <w:rsid w:val="000453AB"/>
    <w:rsid w:val="000475F0"/>
    <w:rsid w:val="000538EE"/>
    <w:rsid w:val="000539F6"/>
    <w:rsid w:val="00054D40"/>
    <w:rsid w:val="00056EE0"/>
    <w:rsid w:val="00057323"/>
    <w:rsid w:val="00057B8A"/>
    <w:rsid w:val="00064390"/>
    <w:rsid w:val="0008010F"/>
    <w:rsid w:val="00081ADE"/>
    <w:rsid w:val="00084E7D"/>
    <w:rsid w:val="0008554D"/>
    <w:rsid w:val="00087988"/>
    <w:rsid w:val="0009227A"/>
    <w:rsid w:val="00093E55"/>
    <w:rsid w:val="00094F20"/>
    <w:rsid w:val="00095959"/>
    <w:rsid w:val="0009766F"/>
    <w:rsid w:val="000A0272"/>
    <w:rsid w:val="000A0ECE"/>
    <w:rsid w:val="000A5589"/>
    <w:rsid w:val="000A588E"/>
    <w:rsid w:val="000B53A5"/>
    <w:rsid w:val="000B66EE"/>
    <w:rsid w:val="000C06E1"/>
    <w:rsid w:val="000C1032"/>
    <w:rsid w:val="000D18EF"/>
    <w:rsid w:val="000D525E"/>
    <w:rsid w:val="000E13E9"/>
    <w:rsid w:val="000E70FC"/>
    <w:rsid w:val="000E7D66"/>
    <w:rsid w:val="000F07E6"/>
    <w:rsid w:val="000F407E"/>
    <w:rsid w:val="000F5213"/>
    <w:rsid w:val="000F6458"/>
    <w:rsid w:val="001039BC"/>
    <w:rsid w:val="001279BE"/>
    <w:rsid w:val="0013251E"/>
    <w:rsid w:val="001423A5"/>
    <w:rsid w:val="001425F9"/>
    <w:rsid w:val="001445A9"/>
    <w:rsid w:val="00146307"/>
    <w:rsid w:val="00146FE9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1995"/>
    <w:rsid w:val="001A593B"/>
    <w:rsid w:val="001C73CB"/>
    <w:rsid w:val="001D04AB"/>
    <w:rsid w:val="001D2521"/>
    <w:rsid w:val="001D74AE"/>
    <w:rsid w:val="001E3265"/>
    <w:rsid w:val="001E7CAD"/>
    <w:rsid w:val="001F125D"/>
    <w:rsid w:val="001F15CB"/>
    <w:rsid w:val="001F533E"/>
    <w:rsid w:val="0021172E"/>
    <w:rsid w:val="00221DE2"/>
    <w:rsid w:val="00226CF8"/>
    <w:rsid w:val="00230D18"/>
    <w:rsid w:val="002314CF"/>
    <w:rsid w:val="00232B0A"/>
    <w:rsid w:val="00234298"/>
    <w:rsid w:val="002343BD"/>
    <w:rsid w:val="002408A7"/>
    <w:rsid w:val="00241A55"/>
    <w:rsid w:val="002471D4"/>
    <w:rsid w:val="00252DEB"/>
    <w:rsid w:val="00253326"/>
    <w:rsid w:val="0026041F"/>
    <w:rsid w:val="00261180"/>
    <w:rsid w:val="00261CDE"/>
    <w:rsid w:val="0026276F"/>
    <w:rsid w:val="00267091"/>
    <w:rsid w:val="00274924"/>
    <w:rsid w:val="00276CA4"/>
    <w:rsid w:val="00280870"/>
    <w:rsid w:val="002823E9"/>
    <w:rsid w:val="00282A7F"/>
    <w:rsid w:val="00282C24"/>
    <w:rsid w:val="002831A2"/>
    <w:rsid w:val="00284E14"/>
    <w:rsid w:val="00292DF0"/>
    <w:rsid w:val="00293DE4"/>
    <w:rsid w:val="002941EC"/>
    <w:rsid w:val="00295B8C"/>
    <w:rsid w:val="00296096"/>
    <w:rsid w:val="00296303"/>
    <w:rsid w:val="002968AB"/>
    <w:rsid w:val="002970F7"/>
    <w:rsid w:val="002A1F54"/>
    <w:rsid w:val="002A4FF0"/>
    <w:rsid w:val="002B0C88"/>
    <w:rsid w:val="002B144C"/>
    <w:rsid w:val="002B16F4"/>
    <w:rsid w:val="002B2DA0"/>
    <w:rsid w:val="002B3E0A"/>
    <w:rsid w:val="002B7B4F"/>
    <w:rsid w:val="002C5D36"/>
    <w:rsid w:val="002D309B"/>
    <w:rsid w:val="002E24D1"/>
    <w:rsid w:val="002E79D9"/>
    <w:rsid w:val="002E7B0A"/>
    <w:rsid w:val="002F2B53"/>
    <w:rsid w:val="002F4567"/>
    <w:rsid w:val="002F7A80"/>
    <w:rsid w:val="00303860"/>
    <w:rsid w:val="00311075"/>
    <w:rsid w:val="003117E6"/>
    <w:rsid w:val="0031471A"/>
    <w:rsid w:val="00326F35"/>
    <w:rsid w:val="00327CBB"/>
    <w:rsid w:val="00330ACA"/>
    <w:rsid w:val="00332619"/>
    <w:rsid w:val="00333802"/>
    <w:rsid w:val="00334E6E"/>
    <w:rsid w:val="00341B41"/>
    <w:rsid w:val="003467B5"/>
    <w:rsid w:val="00354CD0"/>
    <w:rsid w:val="00355B7C"/>
    <w:rsid w:val="00361065"/>
    <w:rsid w:val="0036248F"/>
    <w:rsid w:val="00375273"/>
    <w:rsid w:val="00382BCB"/>
    <w:rsid w:val="00383185"/>
    <w:rsid w:val="00391944"/>
    <w:rsid w:val="00393949"/>
    <w:rsid w:val="003948AF"/>
    <w:rsid w:val="00394BBC"/>
    <w:rsid w:val="003974B4"/>
    <w:rsid w:val="003A4AC6"/>
    <w:rsid w:val="003B24C2"/>
    <w:rsid w:val="003B275B"/>
    <w:rsid w:val="003B42F3"/>
    <w:rsid w:val="003C153D"/>
    <w:rsid w:val="003C2820"/>
    <w:rsid w:val="003C3CB5"/>
    <w:rsid w:val="003C5A1A"/>
    <w:rsid w:val="003D040B"/>
    <w:rsid w:val="003D0424"/>
    <w:rsid w:val="003D32D7"/>
    <w:rsid w:val="003D35C2"/>
    <w:rsid w:val="003F4E13"/>
    <w:rsid w:val="003F6960"/>
    <w:rsid w:val="0040020D"/>
    <w:rsid w:val="00404D66"/>
    <w:rsid w:val="00405ADB"/>
    <w:rsid w:val="0041749C"/>
    <w:rsid w:val="00417651"/>
    <w:rsid w:val="004254EE"/>
    <w:rsid w:val="00430539"/>
    <w:rsid w:val="00430D19"/>
    <w:rsid w:val="00433379"/>
    <w:rsid w:val="00433480"/>
    <w:rsid w:val="00434C24"/>
    <w:rsid w:val="0043655D"/>
    <w:rsid w:val="00436DA3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0B6"/>
    <w:rsid w:val="00476343"/>
    <w:rsid w:val="00477BA8"/>
    <w:rsid w:val="00477EB2"/>
    <w:rsid w:val="00480DBE"/>
    <w:rsid w:val="0048111A"/>
    <w:rsid w:val="00487BF1"/>
    <w:rsid w:val="00491FCB"/>
    <w:rsid w:val="00497943"/>
    <w:rsid w:val="00497A8B"/>
    <w:rsid w:val="004A0E45"/>
    <w:rsid w:val="004A54A6"/>
    <w:rsid w:val="004B1105"/>
    <w:rsid w:val="004B3184"/>
    <w:rsid w:val="004B6935"/>
    <w:rsid w:val="004C3109"/>
    <w:rsid w:val="004C44C4"/>
    <w:rsid w:val="004C516F"/>
    <w:rsid w:val="004C625A"/>
    <w:rsid w:val="004C6355"/>
    <w:rsid w:val="004C6795"/>
    <w:rsid w:val="004C7E4E"/>
    <w:rsid w:val="004E1D5E"/>
    <w:rsid w:val="004E630B"/>
    <w:rsid w:val="004F0131"/>
    <w:rsid w:val="004F7313"/>
    <w:rsid w:val="005158A6"/>
    <w:rsid w:val="0052094C"/>
    <w:rsid w:val="00520C59"/>
    <w:rsid w:val="00521A0F"/>
    <w:rsid w:val="00532089"/>
    <w:rsid w:val="00534A41"/>
    <w:rsid w:val="0053650E"/>
    <w:rsid w:val="00537C3D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6E8B"/>
    <w:rsid w:val="005A03E9"/>
    <w:rsid w:val="005A183A"/>
    <w:rsid w:val="005A408B"/>
    <w:rsid w:val="005A46AE"/>
    <w:rsid w:val="005A77EA"/>
    <w:rsid w:val="005B5746"/>
    <w:rsid w:val="005B7872"/>
    <w:rsid w:val="005C00AF"/>
    <w:rsid w:val="005C7C95"/>
    <w:rsid w:val="005D3C24"/>
    <w:rsid w:val="005D4528"/>
    <w:rsid w:val="005E04E9"/>
    <w:rsid w:val="005E088E"/>
    <w:rsid w:val="005E0F00"/>
    <w:rsid w:val="005E5BCD"/>
    <w:rsid w:val="005F4D9C"/>
    <w:rsid w:val="005F7E5C"/>
    <w:rsid w:val="00604996"/>
    <w:rsid w:val="00605B67"/>
    <w:rsid w:val="006157D7"/>
    <w:rsid w:val="006163B1"/>
    <w:rsid w:val="00616874"/>
    <w:rsid w:val="00622421"/>
    <w:rsid w:val="00624314"/>
    <w:rsid w:val="0062589F"/>
    <w:rsid w:val="00626EA8"/>
    <w:rsid w:val="00641CEA"/>
    <w:rsid w:val="00644724"/>
    <w:rsid w:val="00647E70"/>
    <w:rsid w:val="0065080E"/>
    <w:rsid w:val="00653FEE"/>
    <w:rsid w:val="00655229"/>
    <w:rsid w:val="006566F6"/>
    <w:rsid w:val="00656B0C"/>
    <w:rsid w:val="0066309A"/>
    <w:rsid w:val="00665CCE"/>
    <w:rsid w:val="0066627D"/>
    <w:rsid w:val="00674EEE"/>
    <w:rsid w:val="006815E1"/>
    <w:rsid w:val="006832A2"/>
    <w:rsid w:val="00684A20"/>
    <w:rsid w:val="00690EC4"/>
    <w:rsid w:val="006962CB"/>
    <w:rsid w:val="006A0BB0"/>
    <w:rsid w:val="006A386F"/>
    <w:rsid w:val="006A76C7"/>
    <w:rsid w:val="006A7F42"/>
    <w:rsid w:val="006B3EA7"/>
    <w:rsid w:val="006B4697"/>
    <w:rsid w:val="006C3980"/>
    <w:rsid w:val="006C5004"/>
    <w:rsid w:val="006D17EF"/>
    <w:rsid w:val="006E4621"/>
    <w:rsid w:val="006E4941"/>
    <w:rsid w:val="006E55E9"/>
    <w:rsid w:val="006E5DE5"/>
    <w:rsid w:val="006E7335"/>
    <w:rsid w:val="006F1E9F"/>
    <w:rsid w:val="006F6724"/>
    <w:rsid w:val="0070004D"/>
    <w:rsid w:val="007006AE"/>
    <w:rsid w:val="00700A21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1A60"/>
    <w:rsid w:val="007361E9"/>
    <w:rsid w:val="007373EC"/>
    <w:rsid w:val="0074144B"/>
    <w:rsid w:val="00741652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6DD7"/>
    <w:rsid w:val="00781015"/>
    <w:rsid w:val="0078678D"/>
    <w:rsid w:val="00787132"/>
    <w:rsid w:val="007900FC"/>
    <w:rsid w:val="00792856"/>
    <w:rsid w:val="00794310"/>
    <w:rsid w:val="00794869"/>
    <w:rsid w:val="007959F0"/>
    <w:rsid w:val="00797876"/>
    <w:rsid w:val="007A2024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E8C"/>
    <w:rsid w:val="007E3EED"/>
    <w:rsid w:val="007F136D"/>
    <w:rsid w:val="007F3D33"/>
    <w:rsid w:val="007F60CB"/>
    <w:rsid w:val="00800461"/>
    <w:rsid w:val="00801AAB"/>
    <w:rsid w:val="00807107"/>
    <w:rsid w:val="0080773A"/>
    <w:rsid w:val="008133D0"/>
    <w:rsid w:val="00816E54"/>
    <w:rsid w:val="0081788D"/>
    <w:rsid w:val="00825398"/>
    <w:rsid w:val="008263AE"/>
    <w:rsid w:val="008273F5"/>
    <w:rsid w:val="008318C0"/>
    <w:rsid w:val="00831A29"/>
    <w:rsid w:val="00832B61"/>
    <w:rsid w:val="00835A88"/>
    <w:rsid w:val="0084417B"/>
    <w:rsid w:val="00845AB6"/>
    <w:rsid w:val="00847A69"/>
    <w:rsid w:val="00847DB6"/>
    <w:rsid w:val="008619E1"/>
    <w:rsid w:val="00861CAF"/>
    <w:rsid w:val="00863123"/>
    <w:rsid w:val="008654F1"/>
    <w:rsid w:val="00865752"/>
    <w:rsid w:val="00866E5A"/>
    <w:rsid w:val="00871151"/>
    <w:rsid w:val="008721DF"/>
    <w:rsid w:val="008738A9"/>
    <w:rsid w:val="00876EC6"/>
    <w:rsid w:val="00881C77"/>
    <w:rsid w:val="00882FB0"/>
    <w:rsid w:val="008839E0"/>
    <w:rsid w:val="0088512A"/>
    <w:rsid w:val="00887017"/>
    <w:rsid w:val="00887046"/>
    <w:rsid w:val="00891007"/>
    <w:rsid w:val="008A1AFA"/>
    <w:rsid w:val="008A2CE2"/>
    <w:rsid w:val="008A3460"/>
    <w:rsid w:val="008B0159"/>
    <w:rsid w:val="008B0FAF"/>
    <w:rsid w:val="008B539C"/>
    <w:rsid w:val="008B77D5"/>
    <w:rsid w:val="008C155D"/>
    <w:rsid w:val="008D3BC9"/>
    <w:rsid w:val="008D4634"/>
    <w:rsid w:val="008E4CD7"/>
    <w:rsid w:val="008E5498"/>
    <w:rsid w:val="008E58F7"/>
    <w:rsid w:val="008E6EC1"/>
    <w:rsid w:val="008E75EB"/>
    <w:rsid w:val="008E7C26"/>
    <w:rsid w:val="008F529E"/>
    <w:rsid w:val="00903815"/>
    <w:rsid w:val="00903C0A"/>
    <w:rsid w:val="009047D1"/>
    <w:rsid w:val="009059B7"/>
    <w:rsid w:val="009062C4"/>
    <w:rsid w:val="0090723B"/>
    <w:rsid w:val="00910193"/>
    <w:rsid w:val="009163AD"/>
    <w:rsid w:val="0092312D"/>
    <w:rsid w:val="00933628"/>
    <w:rsid w:val="00933D4D"/>
    <w:rsid w:val="009465EA"/>
    <w:rsid w:val="00950034"/>
    <w:rsid w:val="009506DC"/>
    <w:rsid w:val="009566C4"/>
    <w:rsid w:val="00956DD9"/>
    <w:rsid w:val="00961995"/>
    <w:rsid w:val="0096269A"/>
    <w:rsid w:val="009628AE"/>
    <w:rsid w:val="00967A04"/>
    <w:rsid w:val="00972DB7"/>
    <w:rsid w:val="00973509"/>
    <w:rsid w:val="009763EF"/>
    <w:rsid w:val="00977BBE"/>
    <w:rsid w:val="00977E7B"/>
    <w:rsid w:val="00986792"/>
    <w:rsid w:val="009871EF"/>
    <w:rsid w:val="00990D40"/>
    <w:rsid w:val="00991292"/>
    <w:rsid w:val="00991AEE"/>
    <w:rsid w:val="0099252E"/>
    <w:rsid w:val="0099376A"/>
    <w:rsid w:val="00993CBF"/>
    <w:rsid w:val="00997803"/>
    <w:rsid w:val="00997D63"/>
    <w:rsid w:val="009A149B"/>
    <w:rsid w:val="009A1A9B"/>
    <w:rsid w:val="009A230D"/>
    <w:rsid w:val="009A69E7"/>
    <w:rsid w:val="009B33C8"/>
    <w:rsid w:val="009B5D57"/>
    <w:rsid w:val="009C15E2"/>
    <w:rsid w:val="009C33BF"/>
    <w:rsid w:val="009C3820"/>
    <w:rsid w:val="009E35EB"/>
    <w:rsid w:val="009E3B91"/>
    <w:rsid w:val="009E64F2"/>
    <w:rsid w:val="009E7875"/>
    <w:rsid w:val="009F72D1"/>
    <w:rsid w:val="009F7AA3"/>
    <w:rsid w:val="00A03E4A"/>
    <w:rsid w:val="00A10C12"/>
    <w:rsid w:val="00A144A6"/>
    <w:rsid w:val="00A20E74"/>
    <w:rsid w:val="00A21627"/>
    <w:rsid w:val="00A3527D"/>
    <w:rsid w:val="00A37A94"/>
    <w:rsid w:val="00A41611"/>
    <w:rsid w:val="00A441B7"/>
    <w:rsid w:val="00A442B2"/>
    <w:rsid w:val="00A447AF"/>
    <w:rsid w:val="00A46430"/>
    <w:rsid w:val="00A5780A"/>
    <w:rsid w:val="00A60A32"/>
    <w:rsid w:val="00A60A75"/>
    <w:rsid w:val="00A60CB6"/>
    <w:rsid w:val="00A62B15"/>
    <w:rsid w:val="00A634EA"/>
    <w:rsid w:val="00A63901"/>
    <w:rsid w:val="00A63F21"/>
    <w:rsid w:val="00A7247E"/>
    <w:rsid w:val="00A72BFA"/>
    <w:rsid w:val="00A72FCD"/>
    <w:rsid w:val="00A74844"/>
    <w:rsid w:val="00A754A2"/>
    <w:rsid w:val="00A81D7B"/>
    <w:rsid w:val="00A87DCB"/>
    <w:rsid w:val="00A96478"/>
    <w:rsid w:val="00AA537C"/>
    <w:rsid w:val="00AB49A1"/>
    <w:rsid w:val="00AC1161"/>
    <w:rsid w:val="00AC1A82"/>
    <w:rsid w:val="00AC1D4C"/>
    <w:rsid w:val="00AD18DD"/>
    <w:rsid w:val="00AD562B"/>
    <w:rsid w:val="00AE3F47"/>
    <w:rsid w:val="00AE53D0"/>
    <w:rsid w:val="00AE69BF"/>
    <w:rsid w:val="00AF6884"/>
    <w:rsid w:val="00AF7347"/>
    <w:rsid w:val="00B014DF"/>
    <w:rsid w:val="00B023F3"/>
    <w:rsid w:val="00B11B77"/>
    <w:rsid w:val="00B16987"/>
    <w:rsid w:val="00B17EF5"/>
    <w:rsid w:val="00B200AC"/>
    <w:rsid w:val="00B2068A"/>
    <w:rsid w:val="00B20FE8"/>
    <w:rsid w:val="00B22D0E"/>
    <w:rsid w:val="00B23F95"/>
    <w:rsid w:val="00B25BAB"/>
    <w:rsid w:val="00B26285"/>
    <w:rsid w:val="00B33006"/>
    <w:rsid w:val="00B33F4A"/>
    <w:rsid w:val="00B37AA8"/>
    <w:rsid w:val="00B41297"/>
    <w:rsid w:val="00B417D9"/>
    <w:rsid w:val="00B45CF3"/>
    <w:rsid w:val="00B504F2"/>
    <w:rsid w:val="00B517DE"/>
    <w:rsid w:val="00B51CE1"/>
    <w:rsid w:val="00B53078"/>
    <w:rsid w:val="00B54FE6"/>
    <w:rsid w:val="00B60CEF"/>
    <w:rsid w:val="00B61B5C"/>
    <w:rsid w:val="00B61D0F"/>
    <w:rsid w:val="00B63C96"/>
    <w:rsid w:val="00B64EDD"/>
    <w:rsid w:val="00B65E43"/>
    <w:rsid w:val="00B725A0"/>
    <w:rsid w:val="00B7491E"/>
    <w:rsid w:val="00B763C4"/>
    <w:rsid w:val="00B80CB5"/>
    <w:rsid w:val="00B91560"/>
    <w:rsid w:val="00B91585"/>
    <w:rsid w:val="00B9364B"/>
    <w:rsid w:val="00B95F9A"/>
    <w:rsid w:val="00B979F7"/>
    <w:rsid w:val="00BA0E21"/>
    <w:rsid w:val="00BA1434"/>
    <w:rsid w:val="00BA3915"/>
    <w:rsid w:val="00BA3AE4"/>
    <w:rsid w:val="00BB3501"/>
    <w:rsid w:val="00BB3A06"/>
    <w:rsid w:val="00BB506C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1D5E"/>
    <w:rsid w:val="00BF22CF"/>
    <w:rsid w:val="00BF234E"/>
    <w:rsid w:val="00BF2747"/>
    <w:rsid w:val="00BF2F67"/>
    <w:rsid w:val="00BF4588"/>
    <w:rsid w:val="00BF5588"/>
    <w:rsid w:val="00BF5F4D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4B09"/>
    <w:rsid w:val="00C2753D"/>
    <w:rsid w:val="00C3318B"/>
    <w:rsid w:val="00C3553B"/>
    <w:rsid w:val="00C366B8"/>
    <w:rsid w:val="00C36A15"/>
    <w:rsid w:val="00C40B99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AB0"/>
    <w:rsid w:val="00CA1FEF"/>
    <w:rsid w:val="00CA25FC"/>
    <w:rsid w:val="00CA2BA2"/>
    <w:rsid w:val="00CA4FB1"/>
    <w:rsid w:val="00CA6A56"/>
    <w:rsid w:val="00CB20CC"/>
    <w:rsid w:val="00CB2CEE"/>
    <w:rsid w:val="00CB4DE3"/>
    <w:rsid w:val="00CC2F35"/>
    <w:rsid w:val="00CC40C3"/>
    <w:rsid w:val="00CC5442"/>
    <w:rsid w:val="00CD282E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3CF5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390"/>
    <w:rsid w:val="00D62A71"/>
    <w:rsid w:val="00D634B3"/>
    <w:rsid w:val="00D70A3B"/>
    <w:rsid w:val="00D72110"/>
    <w:rsid w:val="00D82B97"/>
    <w:rsid w:val="00D846E8"/>
    <w:rsid w:val="00D9157E"/>
    <w:rsid w:val="00D919AF"/>
    <w:rsid w:val="00D93772"/>
    <w:rsid w:val="00D937BD"/>
    <w:rsid w:val="00D964E6"/>
    <w:rsid w:val="00DA2D7C"/>
    <w:rsid w:val="00DB6F0A"/>
    <w:rsid w:val="00DD2C18"/>
    <w:rsid w:val="00DD7BAA"/>
    <w:rsid w:val="00DE0FFA"/>
    <w:rsid w:val="00DE6A70"/>
    <w:rsid w:val="00DF3DF3"/>
    <w:rsid w:val="00DF5AA8"/>
    <w:rsid w:val="00E060EF"/>
    <w:rsid w:val="00E11D7D"/>
    <w:rsid w:val="00E1254C"/>
    <w:rsid w:val="00E16895"/>
    <w:rsid w:val="00E32614"/>
    <w:rsid w:val="00E33250"/>
    <w:rsid w:val="00E3526B"/>
    <w:rsid w:val="00E37310"/>
    <w:rsid w:val="00E46FB2"/>
    <w:rsid w:val="00E5059C"/>
    <w:rsid w:val="00E54C06"/>
    <w:rsid w:val="00E5664A"/>
    <w:rsid w:val="00E64475"/>
    <w:rsid w:val="00E65156"/>
    <w:rsid w:val="00E72F8C"/>
    <w:rsid w:val="00E7407A"/>
    <w:rsid w:val="00E802F4"/>
    <w:rsid w:val="00E81A0A"/>
    <w:rsid w:val="00E85BBE"/>
    <w:rsid w:val="00E914D6"/>
    <w:rsid w:val="00E95CD0"/>
    <w:rsid w:val="00E964F7"/>
    <w:rsid w:val="00EA6F84"/>
    <w:rsid w:val="00EB7931"/>
    <w:rsid w:val="00EC6B7E"/>
    <w:rsid w:val="00ED5239"/>
    <w:rsid w:val="00ED548C"/>
    <w:rsid w:val="00ED6FAD"/>
    <w:rsid w:val="00ED7F3F"/>
    <w:rsid w:val="00EE17FE"/>
    <w:rsid w:val="00EF043C"/>
    <w:rsid w:val="00EF44CC"/>
    <w:rsid w:val="00EF49B3"/>
    <w:rsid w:val="00EF56E1"/>
    <w:rsid w:val="00EF73FD"/>
    <w:rsid w:val="00F00561"/>
    <w:rsid w:val="00F01150"/>
    <w:rsid w:val="00F01E3D"/>
    <w:rsid w:val="00F04DC2"/>
    <w:rsid w:val="00F066D9"/>
    <w:rsid w:val="00F1382C"/>
    <w:rsid w:val="00F16375"/>
    <w:rsid w:val="00F21E71"/>
    <w:rsid w:val="00F22D31"/>
    <w:rsid w:val="00F247A6"/>
    <w:rsid w:val="00F25F52"/>
    <w:rsid w:val="00F27C89"/>
    <w:rsid w:val="00F32586"/>
    <w:rsid w:val="00F469D5"/>
    <w:rsid w:val="00F46BB2"/>
    <w:rsid w:val="00F47FEE"/>
    <w:rsid w:val="00F527B3"/>
    <w:rsid w:val="00F624E2"/>
    <w:rsid w:val="00F632AF"/>
    <w:rsid w:val="00F6382D"/>
    <w:rsid w:val="00F63F55"/>
    <w:rsid w:val="00F6423C"/>
    <w:rsid w:val="00F66378"/>
    <w:rsid w:val="00F71C51"/>
    <w:rsid w:val="00F77F4B"/>
    <w:rsid w:val="00F9100C"/>
    <w:rsid w:val="00FA0934"/>
    <w:rsid w:val="00FA5E89"/>
    <w:rsid w:val="00FA653D"/>
    <w:rsid w:val="00FA721A"/>
    <w:rsid w:val="00FB23EE"/>
    <w:rsid w:val="00FB391B"/>
    <w:rsid w:val="00FB4ABD"/>
    <w:rsid w:val="00FC1BB2"/>
    <w:rsid w:val="00FC34DF"/>
    <w:rsid w:val="00FD08DE"/>
    <w:rsid w:val="00FD658E"/>
    <w:rsid w:val="00FD6E95"/>
    <w:rsid w:val="00FE0C5A"/>
    <w:rsid w:val="00FE13A2"/>
    <w:rsid w:val="00FE7AB8"/>
    <w:rsid w:val="00FF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B366"/>
  <w15:docId w15:val="{CB3EF98B-9C27-462E-9D88-271C0C0D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53208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ate"/>
    <w:basedOn w:val="a"/>
    <w:next w:val="a"/>
    <w:link w:val="Char5"/>
    <w:uiPriority w:val="99"/>
    <w:semiHidden/>
    <w:unhideWhenUsed/>
    <w:rsid w:val="00863123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863123"/>
  </w:style>
  <w:style w:type="paragraph" w:styleId="ae">
    <w:name w:val="Normal (Web)"/>
    <w:basedOn w:val="a"/>
    <w:uiPriority w:val="99"/>
    <w:unhideWhenUsed/>
    <w:qFormat/>
    <w:rsid w:val="006E4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seginsigdiff">
    <w:name w:val="textseginsigdiff"/>
    <w:basedOn w:val="a0"/>
    <w:rsid w:val="003B275B"/>
  </w:style>
  <w:style w:type="paragraph" w:customStyle="1" w:styleId="Default">
    <w:name w:val="Default"/>
    <w:rsid w:val="007373EC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37C3D"/>
  </w:style>
  <w:style w:type="table" w:styleId="af0">
    <w:name w:val="Table Grid"/>
    <w:basedOn w:val="a1"/>
    <w:uiPriority w:val="59"/>
    <w:rsid w:val="009059B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Char">
    <w:name w:val="标题 5 Char"/>
    <w:basedOn w:val="a0"/>
    <w:link w:val="5"/>
    <w:uiPriority w:val="9"/>
    <w:rsid w:val="00532089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BE50-F72B-4DAD-A4AF-27B29B66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>P R C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姚明洁</cp:lastModifiedBy>
  <cp:revision>10</cp:revision>
  <cp:lastPrinted>2019-08-07T06:37:00Z</cp:lastPrinted>
  <dcterms:created xsi:type="dcterms:W3CDTF">2021-11-08T05:15:00Z</dcterms:created>
  <dcterms:modified xsi:type="dcterms:W3CDTF">2021-12-23T01:55:00Z</dcterms:modified>
</cp:coreProperties>
</file>